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67FD9" w14:textId="337A6D8A" w:rsidR="00D1530B" w:rsidRDefault="00D1530B" w:rsidP="00D1530B">
      <w:pPr>
        <w:pStyle w:val="Normaalweb"/>
        <w:spacing w:before="0" w:beforeAutospacing="0" w:after="160" w:afterAutospacing="0"/>
      </w:pPr>
      <w:r>
        <w:rPr>
          <w:b/>
          <w:bCs/>
          <w:color w:val="000000"/>
        </w:rPr>
        <w:t>Pleitnota door Transgender Netwerk en WOMEN Inc.</w:t>
      </w:r>
      <w:r>
        <w:rPr>
          <w:b/>
          <w:bCs/>
          <w:color w:val="000000"/>
        </w:rPr>
        <w:br/>
      </w:r>
      <w:r>
        <w:rPr>
          <w:i/>
          <w:iCs/>
          <w:color w:val="000000"/>
        </w:rPr>
        <w:t xml:space="preserve">Amsterdam, </w:t>
      </w:r>
      <w:r w:rsidRPr="00D1530B">
        <w:rPr>
          <w:i/>
          <w:iCs/>
          <w:color w:val="000000"/>
        </w:rPr>
        <w:t>9-3-2023</w:t>
      </w:r>
    </w:p>
    <w:p w14:paraId="06C38D4A" w14:textId="77777777" w:rsidR="00D1530B" w:rsidRDefault="00D1530B" w:rsidP="00D1530B">
      <w:pPr>
        <w:pStyle w:val="Normaalweb"/>
        <w:spacing w:before="0" w:beforeAutospacing="0" w:after="160" w:afterAutospacing="0"/>
      </w:pPr>
      <w:r>
        <w:rPr>
          <w:color w:val="000000"/>
          <w:sz w:val="22"/>
          <w:szCs w:val="22"/>
        </w:rPr>
        <w:t xml:space="preserve">Moet je je voorstellen dat een transgender persoon dit spotje hoort. Spottend wordt gesteld ‘Geslacht is toch geen keuze!’ Met een duidelijke </w:t>
      </w:r>
      <w:proofErr w:type="spellStart"/>
      <w:r>
        <w:rPr>
          <w:color w:val="000000"/>
          <w:sz w:val="22"/>
          <w:szCs w:val="22"/>
        </w:rPr>
        <w:t>subtekst</w:t>
      </w:r>
      <w:proofErr w:type="spellEnd"/>
      <w:r>
        <w:rPr>
          <w:color w:val="000000"/>
          <w:sz w:val="22"/>
          <w:szCs w:val="22"/>
        </w:rPr>
        <w:t>: Doe eens normaal, dat kan toch helemaal niet. Stelt u zich eens voor: Na vele jaren worsteling heb je eindelijk besloten om je naasten te vertellen dat je met vragen rondom je genderidentiteit zit. Je zit vol angsten. Hoe vertel je zoiets überhaupt? Zouden ze mij serieus nemen, loop ik gevaar door hier open over te zijn? Je kent immers de vele verhalen en ervaringen van trans mensen die gekleineerd of zelfs verstoten zijn door hun naasten. En dan hoor je zo’n spotje van een ‘bezorgde moeder’ op de radio. De moed zinkt je in de schoenen. Het spotje impliceert tegenover heel Nederland dat jij niet bestaat of weet wie je bent. En hoe moet jij daar in je eentje tegenop boksen?</w:t>
      </w:r>
    </w:p>
    <w:p w14:paraId="1710011D" w14:textId="77777777" w:rsidR="00D1530B" w:rsidRPr="00E45B2F" w:rsidRDefault="00D1530B" w:rsidP="00D1530B">
      <w:pPr>
        <w:pStyle w:val="Normaalweb"/>
        <w:spacing w:before="0" w:beforeAutospacing="0" w:after="160" w:afterAutospacing="0"/>
      </w:pPr>
      <w:r w:rsidRPr="00E45B2F">
        <w:rPr>
          <w:color w:val="000000"/>
          <w:sz w:val="22"/>
          <w:szCs w:val="22"/>
        </w:rPr>
        <w:t>Was het nodig voor Gendertwijfel om in dit radiospotje over de rug van ouders en kinderen het bestaan van genderidentiteit te ontkennen? Nee dat was het niet. Voor stellingname in een debat was het niet nodig geweest om een ridiculiserend spotje over genderidentiteit te maken.</w:t>
      </w:r>
    </w:p>
    <w:p w14:paraId="5C0775F9" w14:textId="1E9F1116" w:rsidR="00D1530B" w:rsidRDefault="00D1530B" w:rsidP="00D1530B">
      <w:pPr>
        <w:pStyle w:val="Normaalweb"/>
        <w:spacing w:before="0" w:beforeAutospacing="0" w:after="160" w:afterAutospacing="0"/>
      </w:pPr>
      <w:r>
        <w:rPr>
          <w:color w:val="000000"/>
          <w:sz w:val="22"/>
          <w:szCs w:val="22"/>
        </w:rPr>
        <w:t xml:space="preserve">Trans personen bevinden zich in een bijzonder kwetsbare situatie; hun angst voor uitsluiting en geweld wordt keer op keer ondersteund door de cijfers. Volgens het Sociaal en Cultureel Planbureau worden trans jongeren onder de 16 thuis twee keer zo vaak geschopt en geslagen.[1] Ook op school is het niet veilig voor trans jongeren. Zo blijkt uit onderzoek dat transgender jongeren onder de 16 twee keer zo vaak worden </w:t>
      </w:r>
      <w:r w:rsidR="00E45B2F">
        <w:rPr>
          <w:color w:val="000000"/>
          <w:sz w:val="22"/>
          <w:szCs w:val="22"/>
        </w:rPr>
        <w:t xml:space="preserve">gepest </w:t>
      </w:r>
      <w:r>
        <w:rPr>
          <w:color w:val="000000"/>
          <w:sz w:val="22"/>
          <w:szCs w:val="22"/>
        </w:rPr>
        <w:t>als niet-transgender jongeren van dezelfde leeftijd</w:t>
      </w:r>
      <w:r w:rsidR="00E45B2F">
        <w:rPr>
          <w:color w:val="000000"/>
          <w:sz w:val="22"/>
          <w:szCs w:val="22"/>
        </w:rPr>
        <w:t>.</w:t>
      </w:r>
      <w:r>
        <w:rPr>
          <w:color w:val="000000"/>
          <w:sz w:val="22"/>
          <w:szCs w:val="22"/>
        </w:rPr>
        <w:t>[2][3] Het is dan ook niet verwonderlijk dat meer dan de helft van de Nederlandse transgender respondenten tussen de 15 en 17 in Europees onderzoek aangeeft nooit of zelden open te zijn over hun genderidentiteit.[4]</w:t>
      </w:r>
    </w:p>
    <w:p w14:paraId="2545B364" w14:textId="77777777" w:rsidR="00D1530B" w:rsidRDefault="00D1530B" w:rsidP="00D1530B">
      <w:pPr>
        <w:pStyle w:val="Normaalweb"/>
        <w:spacing w:before="0" w:beforeAutospacing="0" w:after="160" w:afterAutospacing="0"/>
      </w:pPr>
      <w:r>
        <w:rPr>
          <w:color w:val="000000"/>
          <w:sz w:val="22"/>
          <w:szCs w:val="22"/>
        </w:rPr>
        <w:t>Een vorm van afwijzing en niet geaccepteerd worden is belachelijk worden gemaakt, niet serieus genomen worden. Voor jongeren die afhankelijk zijn van hun ouders om toestemming te krijgen voordat eventuele hulpverlening gestart kan worden, heeft dit uiterst negatieve gevolgen. Niet voor niks kenmerkt Veilig Thuis ‘het negeren van iemands genderidentiteit en weerhouden van of straffen om diens genderexpressie te uiten’ als een vorm van psychisch geweld en verwaarlozing. Net zoals ‘het tegenhouden van iemands medische, sociale of administratieve gendertransitie’.[5]</w:t>
      </w:r>
    </w:p>
    <w:p w14:paraId="7DFFC650" w14:textId="77777777" w:rsidR="00D1530B" w:rsidRDefault="00D1530B" w:rsidP="00D1530B">
      <w:pPr>
        <w:pStyle w:val="Normaalweb"/>
        <w:spacing w:before="0" w:beforeAutospacing="0" w:after="160" w:afterAutospacing="0"/>
      </w:pPr>
      <w:r>
        <w:rPr>
          <w:color w:val="000000"/>
          <w:sz w:val="22"/>
          <w:szCs w:val="22"/>
        </w:rPr>
        <w:t>Ernst Kuipers, minister van Volksgezondheid, Welzijn en Sport zei in 2022 dat gedachten aan zelfdoding en angst en depressie onder trans</w:t>
      </w:r>
      <w:r>
        <w:rPr>
          <w:color w:val="000000"/>
          <w:sz w:val="22"/>
          <w:szCs w:val="22"/>
        </w:rPr>
        <w:softHyphen/>
        <w:t>gen</w:t>
      </w:r>
      <w:r>
        <w:rPr>
          <w:color w:val="000000"/>
          <w:sz w:val="22"/>
          <w:szCs w:val="22"/>
        </w:rPr>
        <w:softHyphen/>
        <w:t>der personen significant afnemen wanneer zij steun van hun ouders ervaren voor hun gen</w:t>
      </w:r>
      <w:r>
        <w:rPr>
          <w:color w:val="000000"/>
          <w:sz w:val="22"/>
          <w:szCs w:val="22"/>
        </w:rPr>
        <w:softHyphen/>
        <w:t>deri</w:t>
      </w:r>
      <w:r>
        <w:rPr>
          <w:color w:val="000000"/>
          <w:sz w:val="22"/>
          <w:szCs w:val="22"/>
        </w:rPr>
        <w:softHyphen/>
        <w:t>den</w:t>
      </w:r>
      <w:r>
        <w:rPr>
          <w:color w:val="000000"/>
          <w:sz w:val="22"/>
          <w:szCs w:val="22"/>
        </w:rPr>
        <w:softHyphen/>
        <w:t>ti</w:t>
      </w:r>
      <w:r>
        <w:rPr>
          <w:color w:val="000000"/>
          <w:sz w:val="22"/>
          <w:szCs w:val="22"/>
        </w:rPr>
        <w:softHyphen/>
        <w:t>teit en gen</w:t>
      </w:r>
      <w:r>
        <w:rPr>
          <w:color w:val="000000"/>
          <w:sz w:val="22"/>
          <w:szCs w:val="22"/>
        </w:rPr>
        <w:softHyphen/>
        <w:t>derexpressie.[6] “De invloed van ouders op het welbevin</w:t>
      </w:r>
      <w:r>
        <w:rPr>
          <w:color w:val="000000"/>
          <w:sz w:val="22"/>
          <w:szCs w:val="22"/>
        </w:rPr>
        <w:softHyphen/>
        <w:t>den en de mentale ge</w:t>
      </w:r>
      <w:r>
        <w:rPr>
          <w:color w:val="000000"/>
          <w:sz w:val="22"/>
          <w:szCs w:val="22"/>
        </w:rPr>
        <w:softHyphen/>
        <w:t>zond</w:t>
      </w:r>
      <w:r>
        <w:rPr>
          <w:color w:val="000000"/>
          <w:sz w:val="22"/>
          <w:szCs w:val="22"/>
        </w:rPr>
        <w:softHyphen/>
        <w:t>heid van trans</w:t>
      </w:r>
      <w:r>
        <w:rPr>
          <w:color w:val="000000"/>
          <w:sz w:val="22"/>
          <w:szCs w:val="22"/>
        </w:rPr>
        <w:softHyphen/>
        <w:t>gen</w:t>
      </w:r>
      <w:r>
        <w:rPr>
          <w:color w:val="000000"/>
          <w:sz w:val="22"/>
          <w:szCs w:val="22"/>
        </w:rPr>
        <w:softHyphen/>
        <w:t>der jon</w:t>
      </w:r>
      <w:r>
        <w:rPr>
          <w:color w:val="000000"/>
          <w:sz w:val="22"/>
          <w:szCs w:val="22"/>
        </w:rPr>
        <w:softHyphen/>
        <w:t>ge</w:t>
      </w:r>
      <w:r>
        <w:rPr>
          <w:color w:val="000000"/>
          <w:sz w:val="22"/>
          <w:szCs w:val="22"/>
        </w:rPr>
        <w:softHyphen/>
        <w:t>ren of jon</w:t>
      </w:r>
      <w:r>
        <w:rPr>
          <w:color w:val="000000"/>
          <w:sz w:val="22"/>
          <w:szCs w:val="22"/>
        </w:rPr>
        <w:softHyphen/>
        <w:t>ge</w:t>
      </w:r>
      <w:r>
        <w:rPr>
          <w:color w:val="000000"/>
          <w:sz w:val="22"/>
          <w:szCs w:val="22"/>
        </w:rPr>
        <w:softHyphen/>
        <w:t>ren die vragen hebben over hun gen</w:t>
      </w:r>
      <w:r>
        <w:rPr>
          <w:color w:val="000000"/>
          <w:sz w:val="22"/>
          <w:szCs w:val="22"/>
        </w:rPr>
        <w:softHyphen/>
        <w:t>deri</w:t>
      </w:r>
      <w:r>
        <w:rPr>
          <w:color w:val="000000"/>
          <w:sz w:val="22"/>
          <w:szCs w:val="22"/>
        </w:rPr>
        <w:softHyphen/>
        <w:t>den</w:t>
      </w:r>
      <w:r>
        <w:rPr>
          <w:color w:val="000000"/>
          <w:sz w:val="22"/>
          <w:szCs w:val="22"/>
        </w:rPr>
        <w:softHyphen/>
        <w:t>ti</w:t>
      </w:r>
      <w:r>
        <w:rPr>
          <w:color w:val="000000"/>
          <w:sz w:val="22"/>
          <w:szCs w:val="22"/>
        </w:rPr>
        <w:softHyphen/>
        <w:t>teit is dan ook groot”, zei hij.[7] Wist u dat volgens zelfmoordhulplijn 113 transgender mensen 5 tot 10 maal vaker een zelfmoordpoging doen, en tot wel 7 maal vaker aan zelfmoord denken dan niet-transgender personen?[8]</w:t>
      </w:r>
    </w:p>
    <w:p w14:paraId="5867D3BC" w14:textId="77777777" w:rsidR="00D1530B" w:rsidRDefault="00D1530B" w:rsidP="00D1530B">
      <w:pPr>
        <w:pStyle w:val="Normaalweb"/>
        <w:spacing w:before="0" w:beforeAutospacing="0" w:after="160" w:afterAutospacing="0"/>
      </w:pPr>
      <w:r>
        <w:rPr>
          <w:color w:val="000000"/>
          <w:sz w:val="22"/>
          <w:szCs w:val="22"/>
        </w:rPr>
        <w:t>Wat ik tot nu toe heb verteld zijn geen hypothetische scenario’s of enkel cijfers. Het is dagelijkse realiteit. Via de jongeren hulplijn Genderpraatjes krijgen we hier bijna dagelijks melding van: van trans jongeren en ouders zelf. Onze zorg over dit radiospotje is dat het ouders aanmoedigt om kinderen af te wijzen in hun genderidentiteit, terwijl die impact op hun gezondheid zo ontzettend groot is.</w:t>
      </w:r>
    </w:p>
    <w:p w14:paraId="2232CA0F" w14:textId="77777777" w:rsidR="00D1530B" w:rsidRDefault="00D1530B" w:rsidP="00D1530B">
      <w:pPr>
        <w:pStyle w:val="Normaalweb"/>
        <w:spacing w:before="0" w:beforeAutospacing="0" w:after="160" w:afterAutospacing="0"/>
      </w:pPr>
      <w:r>
        <w:rPr>
          <w:color w:val="000000"/>
          <w:sz w:val="22"/>
          <w:szCs w:val="22"/>
        </w:rPr>
        <w:t>Ook bij WOMEN Inc. kwamen in de week dat de radiospot te horen was veel reacties binnen, zowel van ouders als van trans personen. Bijvoorbeeld: “Ik werd echt enorm naar van deze reclame. Hoe denken zij dat dit is, als je dit als trans jongere hoort? Een spotje dat ten diepste het trans zijn bagatelliseert, en op zo’n platte wijze.” En een ander: “Ik reed laatst op de A15 [en hoorde deze reclame] en mijn maag kromp ineen. Dit bij de publieke omroep is echt, echt heel naar.”</w:t>
      </w:r>
    </w:p>
    <w:p w14:paraId="117E7778" w14:textId="77777777" w:rsidR="00D1530B" w:rsidRDefault="00D1530B" w:rsidP="00D1530B">
      <w:pPr>
        <w:pStyle w:val="Normaalweb"/>
        <w:spacing w:before="0" w:beforeAutospacing="0" w:after="160" w:afterAutospacing="0"/>
      </w:pPr>
      <w:r>
        <w:rPr>
          <w:color w:val="000000"/>
          <w:sz w:val="22"/>
          <w:szCs w:val="22"/>
        </w:rPr>
        <w:t>De vrijheid van meningsuiting is belangrijk. Maar niet grenzeloos. Een reclame mag niet nodeloos kwetsend en in strijd met de rechten van de mens zijn, volgens artikelen 3 &amp; 4 uit de Reclame Code. Reclame is medebepalend voor de beeldvorming over een groep mensen. Het beeld dat transgender mensen niet bestaan, dat ze een trend volgen of dat je als ouder niet mee moet gaan in hun wens om te zijn wie ze zijn, draagt bij aan de stereotypen over deze groep. Even een gedachtenexperiment:</w:t>
      </w:r>
    </w:p>
    <w:p w14:paraId="3BB9FE27" w14:textId="77777777" w:rsidR="00D1530B" w:rsidRDefault="00D1530B" w:rsidP="00D1530B">
      <w:pPr>
        <w:pStyle w:val="Normaalweb"/>
        <w:spacing w:before="0" w:beforeAutospacing="0" w:after="160" w:afterAutospacing="0"/>
      </w:pPr>
      <w:r>
        <w:rPr>
          <w:color w:val="000000"/>
          <w:sz w:val="22"/>
          <w:szCs w:val="22"/>
        </w:rPr>
        <w:lastRenderedPageBreak/>
        <w:t>De reclame ging niet over genderidentiteit maar over seksuele oriëntatie. In dat geval zouden we het volgende op de radio horen. Een bezorgde moeder die zegt: ‘Mijn zoon zegt dat hij op jongens valt. Mijn dochter zegt dat ze op meisjes valt. En dat al onder de 16 jaar. Seksualiteit is toch geen keuze! Tweede Kamer, Stop het homohuwelijk’.</w:t>
      </w:r>
    </w:p>
    <w:p w14:paraId="6957E38D" w14:textId="77777777" w:rsidR="00D1530B" w:rsidRDefault="00D1530B" w:rsidP="00D1530B">
      <w:pPr>
        <w:pStyle w:val="Normaalweb"/>
        <w:spacing w:before="0" w:beforeAutospacing="0" w:after="160" w:afterAutospacing="0"/>
      </w:pPr>
      <w:r w:rsidRPr="00E45B2F">
        <w:rPr>
          <w:color w:val="000000"/>
          <w:sz w:val="22"/>
          <w:szCs w:val="22"/>
        </w:rPr>
        <w:t>We kunnen ons toch niet voorstellen dat we dit vandaag de dag op de radio zouden horen. Gelukkig maar. Dat de reclame over transgender personen wel verschijnt zegt iets over het gebrek aan besef over discriminatie, pesten en geweld waar trans personen mee te maken krijgen. Wij zijn zeker voorstander van een open maatschappelijk debat over het wetsvoorstel waarmee mensen eenvoudiger hun geslachtsvermelding kunnen wijzigen. We vinden het dan ook logisch dat tegenstanders van dit wetsvoorstel hun mening hierover kenbaar</w:t>
      </w:r>
      <w:r>
        <w:rPr>
          <w:color w:val="000000"/>
          <w:sz w:val="22"/>
          <w:szCs w:val="22"/>
        </w:rPr>
        <w:t xml:space="preserve"> maken, ook op de radio. Waar we wel voor willen waken is dat er een radiospotje verschijnt dat nodeloos bijdraagt aan het negatieve en gevaarlijke klimaat waarin trans personen al zo vaak weggezet worden en waarin ze worden bespot. Bovendien vertelt het radiospotje een verdraaid verhaal en is de afzender wat onduidelijk.</w:t>
      </w:r>
    </w:p>
    <w:p w14:paraId="6BC179B4" w14:textId="77777777" w:rsidR="00D1530B" w:rsidRDefault="00D1530B" w:rsidP="00D1530B">
      <w:pPr>
        <w:pStyle w:val="Normaalweb"/>
        <w:spacing w:before="0" w:beforeAutospacing="0" w:after="160" w:afterAutospacing="0"/>
      </w:pPr>
      <w:r>
        <w:rPr>
          <w:color w:val="000000"/>
          <w:sz w:val="22"/>
          <w:szCs w:val="22"/>
        </w:rPr>
        <w:t xml:space="preserve">Dat draagt niet bij aan het democratisch proces. Zo wordt belangrijke informatie over het wetsvoorstel weggelaten. Dat een kind onder de 16 eerst langs de rechter moet voordat de geslachtsvermelding gewijzigd mag worden, wordt niet vermeld. Bovendien is weggelaten dat de ouders het verzoek moeten indienen. Ook suggereert het spotje door het gebruik van de tegenwoordige tijd dat de nieuwe transgenderwet er nu al is. </w:t>
      </w:r>
      <w:r>
        <w:rPr>
          <w:color w:val="000000"/>
          <w:sz w:val="22"/>
          <w:szCs w:val="22"/>
        </w:rPr>
        <w:br/>
      </w:r>
      <w:r>
        <w:rPr>
          <w:color w:val="000000"/>
          <w:sz w:val="22"/>
          <w:szCs w:val="22"/>
        </w:rPr>
        <w:br/>
        <w:t>De toenemende mate waarin het publieke leven in Nederland onveiliger wordt voor transgender personen is evident. Gewelds- en discriminatiecijfers zijn hoog en de toon die in media aangeslagen wordt over transgender personen wordt steeds spottender. Elke uiting die hieraan bijdraagt is er één te veel. De negatieve beeldvorming stapelt zich op en creëert een klimaat dat in toenemende mate onveilig is. Onderzoek laat zien hoe negatieve mediaboodschappen het welzijn van transgender personen verslechtert.[8]</w:t>
      </w:r>
    </w:p>
    <w:p w14:paraId="7866D44A" w14:textId="77777777" w:rsidR="00D1530B" w:rsidRPr="00E45B2F" w:rsidRDefault="00D1530B" w:rsidP="00D1530B">
      <w:pPr>
        <w:pStyle w:val="Normaalweb"/>
        <w:spacing w:before="0" w:beforeAutospacing="0" w:after="160" w:afterAutospacing="0"/>
      </w:pPr>
      <w:r w:rsidRPr="00E45B2F">
        <w:rPr>
          <w:color w:val="000000"/>
          <w:sz w:val="22"/>
          <w:szCs w:val="22"/>
        </w:rPr>
        <w:t>Wat ons betreft is dit hét moment voor de Reclame Commissie om een streep te trekken. Het wordt tijd dat het debat over de Transgenderwet gevoerd gaat worden aan de hand van de juiste informatie. En het wordt tijd dat reclamespotjes niet langer bijdragen aan de discriminatie van transgender personen en de stigmatisering van deze groep Nederlanders.</w:t>
      </w:r>
      <w:r w:rsidRPr="00E45B2F">
        <w:rPr>
          <w:color w:val="000000"/>
          <w:sz w:val="22"/>
          <w:szCs w:val="22"/>
        </w:rPr>
        <w:br/>
      </w:r>
      <w:r w:rsidRPr="00E45B2F">
        <w:rPr>
          <w:color w:val="000000"/>
          <w:sz w:val="22"/>
          <w:szCs w:val="22"/>
        </w:rPr>
        <w:br/>
      </w:r>
    </w:p>
    <w:p w14:paraId="1BEB1C49" w14:textId="77777777" w:rsidR="00D1530B" w:rsidRDefault="00D1530B" w:rsidP="00D1530B">
      <w:pPr>
        <w:pStyle w:val="Normaalweb"/>
        <w:spacing w:before="0" w:beforeAutospacing="0" w:after="160" w:afterAutospacing="0"/>
      </w:pPr>
      <w:r>
        <w:rPr>
          <w:color w:val="000000"/>
          <w:sz w:val="18"/>
          <w:szCs w:val="18"/>
          <w:shd w:val="clear" w:color="auto" w:fill="FFFFFF"/>
        </w:rPr>
        <w:br/>
      </w:r>
      <w:r>
        <w:rPr>
          <w:color w:val="000000"/>
          <w:sz w:val="18"/>
          <w:szCs w:val="18"/>
          <w:shd w:val="clear" w:color="auto" w:fill="FFFFFF"/>
        </w:rPr>
        <w:br/>
      </w:r>
    </w:p>
    <w:p w14:paraId="25A8EAAC" w14:textId="77777777" w:rsidR="00D1530B" w:rsidRDefault="00D1530B" w:rsidP="00D1530B">
      <w:pPr>
        <w:pStyle w:val="Normaalweb"/>
        <w:spacing w:before="0" w:beforeAutospacing="0" w:after="160" w:afterAutospacing="0"/>
      </w:pPr>
      <w:r>
        <w:rPr>
          <w:color w:val="000000"/>
          <w:sz w:val="18"/>
          <w:szCs w:val="18"/>
          <w:shd w:val="clear" w:color="auto" w:fill="FFFFFF"/>
        </w:rPr>
        <w:t>1. Sociaal Cultureel Planbureau (2018). LHBT Monitor 2018. (</w:t>
      </w:r>
      <w:proofErr w:type="gramStart"/>
      <w:r>
        <w:rPr>
          <w:color w:val="000000"/>
          <w:sz w:val="18"/>
          <w:szCs w:val="18"/>
          <w:shd w:val="clear" w:color="auto" w:fill="FFFFFF"/>
        </w:rPr>
        <w:t>hoofdstuk</w:t>
      </w:r>
      <w:proofErr w:type="gramEnd"/>
      <w:r>
        <w:rPr>
          <w:color w:val="000000"/>
          <w:sz w:val="18"/>
          <w:szCs w:val="18"/>
          <w:shd w:val="clear" w:color="auto" w:fill="FFFFFF"/>
        </w:rPr>
        <w:t xml:space="preserve"> 6.2: Transgender jongeren). </w:t>
      </w:r>
      <w:r>
        <w:rPr>
          <w:color w:val="000000"/>
          <w:sz w:val="18"/>
          <w:szCs w:val="18"/>
          <w:shd w:val="clear" w:color="auto" w:fill="FFFFFF"/>
        </w:rPr>
        <w:br/>
        <w:t xml:space="preserve">2. De Graaf, H., &amp; </w:t>
      </w:r>
      <w:proofErr w:type="spellStart"/>
      <w:r>
        <w:rPr>
          <w:color w:val="000000"/>
          <w:sz w:val="18"/>
          <w:szCs w:val="18"/>
          <w:shd w:val="clear" w:color="auto" w:fill="FFFFFF"/>
        </w:rPr>
        <w:t>Wijsen</w:t>
      </w:r>
      <w:proofErr w:type="spellEnd"/>
      <w:r>
        <w:rPr>
          <w:color w:val="000000"/>
          <w:sz w:val="18"/>
          <w:szCs w:val="18"/>
          <w:shd w:val="clear" w:color="auto" w:fill="FFFFFF"/>
        </w:rPr>
        <w:t xml:space="preserve">, C. (2017). Seksuele gezondheid in Nederland 2017. Utrecht: Rutgers; Geerlings, J. (e.a.) Ervaringen en aanpak van pestgedrag tegenover </w:t>
      </w:r>
      <w:proofErr w:type="spellStart"/>
      <w:r>
        <w:rPr>
          <w:color w:val="000000"/>
          <w:sz w:val="18"/>
          <w:szCs w:val="18"/>
          <w:shd w:val="clear" w:color="auto" w:fill="FFFFFF"/>
        </w:rPr>
        <w:t>lhbtiq+</w:t>
      </w:r>
      <w:proofErr w:type="spellEnd"/>
      <w:r>
        <w:rPr>
          <w:color w:val="000000"/>
          <w:sz w:val="18"/>
          <w:szCs w:val="18"/>
          <w:shd w:val="clear" w:color="auto" w:fill="FFFFFF"/>
        </w:rPr>
        <w:t xml:space="preserve"> jongeren in het voortgezet onderwijs. Onderzoeksrapport. Utrecht: </w:t>
      </w:r>
      <w:proofErr w:type="spellStart"/>
      <w:r>
        <w:rPr>
          <w:color w:val="000000"/>
          <w:sz w:val="18"/>
          <w:szCs w:val="18"/>
          <w:shd w:val="clear" w:color="auto" w:fill="FFFFFF"/>
        </w:rPr>
        <w:t>Movisie</w:t>
      </w:r>
      <w:proofErr w:type="spellEnd"/>
      <w:r>
        <w:rPr>
          <w:color w:val="000000"/>
          <w:sz w:val="18"/>
          <w:szCs w:val="18"/>
          <w:shd w:val="clear" w:color="auto" w:fill="FFFFFF"/>
        </w:rPr>
        <w:t xml:space="preserve">, 2022. </w:t>
      </w:r>
      <w:r>
        <w:rPr>
          <w:color w:val="000000"/>
          <w:sz w:val="18"/>
          <w:szCs w:val="18"/>
          <w:shd w:val="clear" w:color="auto" w:fill="FFFFFF"/>
        </w:rPr>
        <w:br/>
        <w:t>3. Van den Broek, A. (2022). Veilig op school. Landelijke veiligheidsmonitor 2020-2021: veiligheidsbeleid en veiligheidsbeleving in het primair en voortgezet onderwijs. Nijmegen: Researchnet Nijmegen in opdracht van Minister van OCW, p.103.</w:t>
      </w:r>
      <w:r>
        <w:rPr>
          <w:color w:val="000000"/>
          <w:sz w:val="18"/>
          <w:szCs w:val="18"/>
          <w:shd w:val="clear" w:color="auto" w:fill="FFFFFF"/>
        </w:rPr>
        <w:br/>
      </w:r>
      <w:r>
        <w:rPr>
          <w:color w:val="000000"/>
          <w:sz w:val="18"/>
          <w:szCs w:val="18"/>
        </w:rPr>
        <w:t xml:space="preserve">4. Cijfers van EU FRA 2020 via Geerlings, J. (e.a.) (2022), Ervaringen en aanpak van pestgedrag tegenover </w:t>
      </w:r>
      <w:proofErr w:type="spellStart"/>
      <w:r>
        <w:rPr>
          <w:color w:val="000000"/>
          <w:sz w:val="18"/>
          <w:szCs w:val="18"/>
        </w:rPr>
        <w:t>lhbtiq+</w:t>
      </w:r>
      <w:proofErr w:type="spellEnd"/>
      <w:r>
        <w:rPr>
          <w:color w:val="000000"/>
          <w:sz w:val="18"/>
          <w:szCs w:val="18"/>
        </w:rPr>
        <w:t xml:space="preserve"> jongeren in het voortgezet onderwijs.</w:t>
      </w:r>
      <w:r>
        <w:rPr>
          <w:color w:val="0078D4"/>
          <w:sz w:val="18"/>
          <w:szCs w:val="18"/>
          <w:u w:val="single"/>
          <w:shd w:val="clear" w:color="auto" w:fill="FFFFFF"/>
        </w:rPr>
        <w:br/>
      </w:r>
      <w:r>
        <w:rPr>
          <w:color w:val="000000"/>
          <w:sz w:val="18"/>
          <w:szCs w:val="18"/>
          <w:shd w:val="clear" w:color="auto" w:fill="FFFFFF"/>
        </w:rPr>
        <w:t xml:space="preserve">5. </w:t>
      </w:r>
      <w:hyperlink r:id="rId6" w:history="1">
        <w:r>
          <w:rPr>
            <w:rStyle w:val="Hyperlink"/>
            <w:color w:val="1155CC"/>
            <w:sz w:val="18"/>
            <w:szCs w:val="18"/>
            <w:shd w:val="clear" w:color="auto" w:fill="FFFFFF"/>
          </w:rPr>
          <w:t>https://www.020veiligthuis.nl/publicaties/signaalkaart-genderidentiteit-genderexpressie-en-huiselijk-geweld/</w:t>
        </w:r>
        <w:r>
          <w:rPr>
            <w:color w:val="0078D4"/>
            <w:sz w:val="18"/>
            <w:szCs w:val="18"/>
            <w:u w:val="single"/>
            <w:shd w:val="clear" w:color="auto" w:fill="FFFFFF"/>
          </w:rPr>
          <w:br/>
        </w:r>
      </w:hyperlink>
      <w:r>
        <w:rPr>
          <w:color w:val="000000"/>
          <w:sz w:val="18"/>
          <w:szCs w:val="18"/>
          <w:shd w:val="clear" w:color="auto" w:fill="FFFFFF"/>
        </w:rPr>
        <w:t xml:space="preserve">7. </w:t>
      </w:r>
      <w:hyperlink r:id="rId7" w:history="1">
        <w:r>
          <w:rPr>
            <w:rStyle w:val="Hyperlink"/>
            <w:color w:val="1155CC"/>
            <w:sz w:val="18"/>
            <w:szCs w:val="18"/>
            <w:shd w:val="clear" w:color="auto" w:fill="FFFFFF"/>
          </w:rPr>
          <w:t>https://www.tweedekamer.nl/kamerstukken/kamervragen/detail?id=2022Z10163&amp;did=2022D29856</w:t>
        </w:r>
        <w:r>
          <w:rPr>
            <w:color w:val="0078D4"/>
            <w:sz w:val="18"/>
            <w:szCs w:val="18"/>
            <w:u w:val="single"/>
            <w:shd w:val="clear" w:color="auto" w:fill="FFFFFF"/>
          </w:rPr>
          <w:br/>
        </w:r>
      </w:hyperlink>
      <w:r>
        <w:rPr>
          <w:color w:val="000000"/>
          <w:sz w:val="18"/>
          <w:szCs w:val="18"/>
        </w:rPr>
        <w:t xml:space="preserve">8. </w:t>
      </w:r>
      <w:hyperlink r:id="rId8" w:history="1">
        <w:r>
          <w:rPr>
            <w:rStyle w:val="Hyperlink"/>
            <w:color w:val="1155CC"/>
            <w:sz w:val="18"/>
            <w:szCs w:val="18"/>
            <w:shd w:val="clear" w:color="auto" w:fill="FFFFFF"/>
          </w:rPr>
          <w:t>https://www.113.nl/sites/default/files/2017-07/Factsheet_113_Zelfmoord%20en%20LHBT%27ers.pdf</w:t>
        </w:r>
        <w:r>
          <w:rPr>
            <w:color w:val="0078D4"/>
            <w:sz w:val="18"/>
            <w:szCs w:val="18"/>
            <w:u w:val="single"/>
            <w:shd w:val="clear" w:color="auto" w:fill="FFFFFF"/>
          </w:rPr>
          <w:br/>
        </w:r>
      </w:hyperlink>
      <w:r>
        <w:rPr>
          <w:color w:val="000000"/>
          <w:sz w:val="18"/>
          <w:szCs w:val="18"/>
        </w:rPr>
        <w:t xml:space="preserve">9. </w:t>
      </w:r>
      <w:proofErr w:type="spellStart"/>
      <w:r w:rsidRPr="00E45B2F">
        <w:rPr>
          <w:color w:val="000000"/>
          <w:sz w:val="18"/>
          <w:szCs w:val="18"/>
          <w:shd w:val="clear" w:color="auto" w:fill="FFFFFF"/>
          <w:lang w:val="en-US"/>
        </w:rPr>
        <w:t>Hughto</w:t>
      </w:r>
      <w:proofErr w:type="spellEnd"/>
      <w:r w:rsidRPr="00E45B2F">
        <w:rPr>
          <w:color w:val="000000"/>
          <w:sz w:val="18"/>
          <w:szCs w:val="18"/>
          <w:shd w:val="clear" w:color="auto" w:fill="FFFFFF"/>
          <w:lang w:val="en-US"/>
        </w:rPr>
        <w:t xml:space="preserve"> JMW (</w:t>
      </w:r>
      <w:proofErr w:type="spellStart"/>
      <w:r w:rsidRPr="00E45B2F">
        <w:rPr>
          <w:color w:val="000000"/>
          <w:sz w:val="18"/>
          <w:szCs w:val="18"/>
          <w:shd w:val="clear" w:color="auto" w:fill="FFFFFF"/>
          <w:lang w:val="en-US"/>
        </w:rPr>
        <w:t>e.a.</w:t>
      </w:r>
      <w:proofErr w:type="spellEnd"/>
      <w:r w:rsidRPr="00E45B2F">
        <w:rPr>
          <w:color w:val="000000"/>
          <w:sz w:val="18"/>
          <w:szCs w:val="18"/>
          <w:shd w:val="clear" w:color="auto" w:fill="FFFFFF"/>
          <w:lang w:val="en-US"/>
        </w:rPr>
        <w:t xml:space="preserve">) (2021). </w:t>
      </w:r>
      <w:r w:rsidRPr="00D1530B">
        <w:rPr>
          <w:color w:val="000000"/>
          <w:sz w:val="18"/>
          <w:szCs w:val="18"/>
          <w:shd w:val="clear" w:color="auto" w:fill="FFFFFF"/>
          <w:lang w:val="en-US"/>
        </w:rPr>
        <w:t xml:space="preserve">Negative Transgender-Related Media Messages Are Associated with Adverse Mental Health Outcomes in a Multistate Study of Transgender Adults. </w:t>
      </w:r>
      <w:r>
        <w:rPr>
          <w:color w:val="000000"/>
          <w:sz w:val="18"/>
          <w:szCs w:val="18"/>
          <w:shd w:val="clear" w:color="auto" w:fill="FFFFFF"/>
        </w:rPr>
        <w:t>LGBT Health, p.32-41. </w:t>
      </w:r>
    </w:p>
    <w:p w14:paraId="15FD2341" w14:textId="77777777" w:rsidR="00D1530B" w:rsidRDefault="00D1530B" w:rsidP="00D1530B"/>
    <w:sectPr w:rsidR="00D1530B">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064EB" w14:textId="77777777" w:rsidR="005A1F41" w:rsidRDefault="005A1F41" w:rsidP="00D1530B">
      <w:r>
        <w:separator/>
      </w:r>
    </w:p>
  </w:endnote>
  <w:endnote w:type="continuationSeparator" w:id="0">
    <w:p w14:paraId="5F4E677B" w14:textId="77777777" w:rsidR="005A1F41" w:rsidRDefault="005A1F41" w:rsidP="00D1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010523725"/>
      <w:docPartObj>
        <w:docPartGallery w:val="Page Numbers (Bottom of Page)"/>
        <w:docPartUnique/>
      </w:docPartObj>
    </w:sdtPr>
    <w:sdtContent>
      <w:p w14:paraId="643C3514" w14:textId="7C4F8564" w:rsidR="00D1530B" w:rsidRDefault="00D1530B" w:rsidP="00D422A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1355F8F3" w14:textId="77777777" w:rsidR="00D1530B" w:rsidRDefault="00D1530B" w:rsidP="00D1530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777448328"/>
      <w:docPartObj>
        <w:docPartGallery w:val="Page Numbers (Bottom of Page)"/>
        <w:docPartUnique/>
      </w:docPartObj>
    </w:sdtPr>
    <w:sdtContent>
      <w:p w14:paraId="0A5B0385" w14:textId="53FB291B" w:rsidR="00D1530B" w:rsidRDefault="00D1530B" w:rsidP="00D422A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1082F0C2" w14:textId="77777777" w:rsidR="00D1530B" w:rsidRDefault="00D1530B" w:rsidP="00D1530B">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A0262" w14:textId="77777777" w:rsidR="005A1F41" w:rsidRDefault="005A1F41" w:rsidP="00D1530B">
      <w:r>
        <w:separator/>
      </w:r>
    </w:p>
  </w:footnote>
  <w:footnote w:type="continuationSeparator" w:id="0">
    <w:p w14:paraId="4CDD8AAD" w14:textId="77777777" w:rsidR="005A1F41" w:rsidRDefault="005A1F41" w:rsidP="00D15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0B"/>
    <w:rsid w:val="002B1B28"/>
    <w:rsid w:val="005A1F41"/>
    <w:rsid w:val="008F4417"/>
    <w:rsid w:val="00BE0A8A"/>
    <w:rsid w:val="00D1530B"/>
    <w:rsid w:val="00E45B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CD69209"/>
  <w15:chartTrackingRefBased/>
  <w15:docId w15:val="{D584A6FF-750B-C240-87A9-DE33CA893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1530B"/>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semiHidden/>
    <w:unhideWhenUsed/>
    <w:rsid w:val="00D1530B"/>
    <w:rPr>
      <w:color w:val="0000FF"/>
      <w:u w:val="single"/>
    </w:rPr>
  </w:style>
  <w:style w:type="paragraph" w:styleId="Voettekst">
    <w:name w:val="footer"/>
    <w:basedOn w:val="Standaard"/>
    <w:link w:val="VoettekstChar"/>
    <w:uiPriority w:val="99"/>
    <w:unhideWhenUsed/>
    <w:rsid w:val="00D1530B"/>
    <w:pPr>
      <w:tabs>
        <w:tab w:val="center" w:pos="4536"/>
        <w:tab w:val="right" w:pos="9072"/>
      </w:tabs>
    </w:pPr>
  </w:style>
  <w:style w:type="character" w:customStyle="1" w:styleId="VoettekstChar">
    <w:name w:val="Voettekst Char"/>
    <w:basedOn w:val="Standaardalinea-lettertype"/>
    <w:link w:val="Voettekst"/>
    <w:uiPriority w:val="99"/>
    <w:rsid w:val="00D1530B"/>
  </w:style>
  <w:style w:type="character" w:styleId="Paginanummer">
    <w:name w:val="page number"/>
    <w:basedOn w:val="Standaardalinea-lettertype"/>
    <w:uiPriority w:val="99"/>
    <w:semiHidden/>
    <w:unhideWhenUsed/>
    <w:rsid w:val="00D15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18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13.nl/sites/default/files/2017-07/Factsheet_113_Zelfmoord%20en%20LHBT%27ers.pdf" TargetMode="External"/><Relationship Id="rId3" Type="http://schemas.openxmlformats.org/officeDocument/2006/relationships/webSettings" Target="webSettings.xml"/><Relationship Id="rId7" Type="http://schemas.openxmlformats.org/officeDocument/2006/relationships/hyperlink" Target="https://www.tweedekamer.nl/kamerstukken/kamervragen/detail?id=2022Z10163&amp;did=2022D2985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020veiligthuis.nl/publicaties/signaalkaart-genderidentiteit-genderexpressie-en-huiselijk-gewel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1308</Words>
  <Characters>7195</Characters>
  <Application>Microsoft Office Word</Application>
  <DocSecurity>0</DocSecurity>
  <Lines>59</Lines>
  <Paragraphs>16</Paragraphs>
  <ScaleCrop>false</ScaleCrop>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Uitterlinden</dc:creator>
  <cp:keywords/>
  <dc:description/>
  <cp:lastModifiedBy>Nora Uitterlinden</cp:lastModifiedBy>
  <cp:revision>2</cp:revision>
  <dcterms:created xsi:type="dcterms:W3CDTF">2023-03-09T16:43:00Z</dcterms:created>
  <dcterms:modified xsi:type="dcterms:W3CDTF">2023-03-09T16:43:00Z</dcterms:modified>
</cp:coreProperties>
</file>